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B92EE7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C1946">
        <w:rPr>
          <w:bCs/>
          <w:noProof w:val="0"/>
          <w:sz w:val="24"/>
          <w:szCs w:val="24"/>
        </w:rPr>
        <w:t>210</w:t>
      </w:r>
      <w:r w:rsidR="000C1946">
        <w:rPr>
          <w:bCs/>
          <w:noProof w:val="0"/>
          <w:sz w:val="24"/>
          <w:szCs w:val="24"/>
        </w:rPr>
        <w:t>8021</w:t>
      </w:r>
    </w:p>
    <w:p w14:paraId="11776FA6" w14:textId="6E3A8A6B" w:rsidR="00A209D6" w:rsidRPr="004C65E5" w:rsidRDefault="009928A9" w:rsidP="00A209D6">
      <w:pPr>
        <w:pStyle w:val="Header"/>
        <w:tabs>
          <w:tab w:val="right" w:pos="9639"/>
        </w:tabs>
        <w:rPr>
          <w:rFonts w:eastAsia="SimSun"/>
          <w:bCs/>
          <w:sz w:val="24"/>
          <w:szCs w:val="24"/>
          <w:lang w:val="pt-BR" w:eastAsia="zh-CN"/>
        </w:rPr>
      </w:pPr>
      <w:r w:rsidRPr="004C65E5">
        <w:rPr>
          <w:rFonts w:eastAsia="SimSun"/>
          <w:bCs/>
          <w:sz w:val="24"/>
          <w:szCs w:val="24"/>
          <w:lang w:val="pt-BR" w:eastAsia="zh-CN"/>
        </w:rPr>
        <w:t>Elbonia</w:t>
      </w:r>
      <w:r w:rsidR="006574C0" w:rsidRPr="004C65E5">
        <w:rPr>
          <w:rFonts w:eastAsia="SimSun"/>
          <w:bCs/>
          <w:sz w:val="24"/>
          <w:szCs w:val="24"/>
          <w:lang w:val="pt-BR" w:eastAsia="zh-CN"/>
        </w:rPr>
        <w:t xml:space="preserve">, </w:t>
      </w:r>
      <w:r w:rsidR="00894820">
        <w:rPr>
          <w:rFonts w:eastAsia="SimSun"/>
          <w:bCs/>
          <w:sz w:val="24"/>
          <w:szCs w:val="24"/>
          <w:lang w:val="pt-BR" w:eastAsia="zh-CN"/>
        </w:rPr>
        <w:t>9</w:t>
      </w:r>
      <w:r w:rsidR="00894820" w:rsidRPr="004C65E5">
        <w:rPr>
          <w:rFonts w:eastAsia="SimSun"/>
          <w:bCs/>
          <w:sz w:val="24"/>
          <w:szCs w:val="24"/>
          <w:lang w:val="pt-BR" w:eastAsia="zh-CN"/>
        </w:rPr>
        <w:t xml:space="preserve"> </w:t>
      </w:r>
      <w:r w:rsidR="006E1057" w:rsidRPr="004C65E5">
        <w:rPr>
          <w:rFonts w:eastAsia="SimSun"/>
          <w:bCs/>
          <w:sz w:val="24"/>
          <w:szCs w:val="24"/>
          <w:lang w:val="pt-BR" w:eastAsia="zh-CN"/>
        </w:rPr>
        <w:t xml:space="preserve">– </w:t>
      </w:r>
      <w:r w:rsidR="00894820">
        <w:rPr>
          <w:rFonts w:eastAsia="SimSun"/>
          <w:bCs/>
          <w:sz w:val="24"/>
          <w:szCs w:val="24"/>
          <w:lang w:val="pt-BR" w:eastAsia="zh-CN"/>
        </w:rPr>
        <w:t>27</w:t>
      </w:r>
      <w:r w:rsidR="00894820" w:rsidRPr="004C65E5">
        <w:rPr>
          <w:rFonts w:eastAsia="SimSun"/>
          <w:bCs/>
          <w:sz w:val="24"/>
          <w:szCs w:val="24"/>
          <w:lang w:val="pt-BR" w:eastAsia="zh-CN"/>
        </w:rPr>
        <w:t xml:space="preserve"> </w:t>
      </w:r>
      <w:r w:rsidR="00B606E6" w:rsidRPr="004C65E5">
        <w:rPr>
          <w:rFonts w:eastAsia="SimSun"/>
          <w:bCs/>
          <w:sz w:val="24"/>
          <w:szCs w:val="24"/>
          <w:lang w:val="pt-BR" w:eastAsia="zh-CN"/>
        </w:rPr>
        <w:t>August</w:t>
      </w:r>
      <w:r w:rsidR="006E1057" w:rsidRPr="004C65E5">
        <w:rPr>
          <w:rFonts w:eastAsia="SimSun"/>
          <w:bCs/>
          <w:sz w:val="24"/>
          <w:szCs w:val="24"/>
          <w:lang w:val="pt-BR" w:eastAsia="zh-CN"/>
        </w:rPr>
        <w:t xml:space="preserve"> 2021</w:t>
      </w:r>
      <w:r w:rsidR="00A209D6" w:rsidRPr="004C65E5">
        <w:rPr>
          <w:rFonts w:eastAsia="SimSun"/>
          <w:noProof w:val="0"/>
          <w:sz w:val="24"/>
          <w:szCs w:val="24"/>
          <w:lang w:val="pt-BR" w:eastAsia="zh-CN"/>
        </w:rPr>
        <w:tab/>
      </w:r>
    </w:p>
    <w:p w14:paraId="2E02E5F5" w14:textId="77777777" w:rsidR="00A209D6" w:rsidRPr="004C65E5" w:rsidRDefault="00A209D6" w:rsidP="00A209D6">
      <w:pPr>
        <w:pStyle w:val="Header"/>
        <w:rPr>
          <w:bCs/>
          <w:noProof w:val="0"/>
          <w:sz w:val="24"/>
          <w:lang w:val="pt-BR"/>
        </w:rPr>
      </w:pPr>
    </w:p>
    <w:p w14:paraId="403CB9C0" w14:textId="77777777" w:rsidR="00A209D6" w:rsidRPr="004C65E5" w:rsidRDefault="00A209D6" w:rsidP="00A209D6">
      <w:pPr>
        <w:pStyle w:val="Header"/>
        <w:rPr>
          <w:bCs/>
          <w:noProof w:val="0"/>
          <w:sz w:val="24"/>
          <w:lang w:val="pt-BR"/>
        </w:rPr>
      </w:pPr>
    </w:p>
    <w:p w14:paraId="74AEDB1B" w14:textId="6E33E5B6" w:rsidR="00A209D6" w:rsidRPr="004C65E5" w:rsidRDefault="00A209D6" w:rsidP="00A209D6">
      <w:pPr>
        <w:pStyle w:val="CRCoverPage"/>
        <w:tabs>
          <w:tab w:val="left" w:pos="1985"/>
        </w:tabs>
        <w:rPr>
          <w:rFonts w:cs="Arial"/>
          <w:b/>
          <w:bCs/>
          <w:sz w:val="24"/>
          <w:lang w:val="pt-BR" w:eastAsia="ja-JP"/>
        </w:rPr>
      </w:pPr>
      <w:r w:rsidRPr="004C65E5">
        <w:rPr>
          <w:rFonts w:cs="Arial"/>
          <w:b/>
          <w:bCs/>
          <w:sz w:val="24"/>
          <w:lang w:val="pt-BR"/>
        </w:rPr>
        <w:t>Agenda item:</w:t>
      </w:r>
      <w:r w:rsidRPr="004C65E5">
        <w:rPr>
          <w:rFonts w:cs="Arial"/>
          <w:b/>
          <w:bCs/>
          <w:sz w:val="24"/>
          <w:lang w:val="pt-BR"/>
        </w:rPr>
        <w:tab/>
      </w:r>
      <w:r w:rsidR="0099216C" w:rsidRPr="004C65E5">
        <w:rPr>
          <w:rFonts w:cs="Arial"/>
          <w:b/>
          <w:bCs/>
          <w:sz w:val="24"/>
          <w:lang w:val="pt-BR"/>
        </w:rPr>
        <w:t>8.5.2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E654B3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216C">
        <w:rPr>
          <w:rFonts w:ascii="Arial" w:hAnsi="Arial" w:cs="Arial"/>
          <w:b/>
          <w:bCs/>
          <w:sz w:val="24"/>
        </w:rPr>
        <w:t xml:space="preserve">Time Synchronization Signalling </w:t>
      </w:r>
    </w:p>
    <w:p w14:paraId="1F147C23" w14:textId="6A5804E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59334320"/>
      <w:r w:rsidR="00074734" w:rsidRPr="00331CD0">
        <w:rPr>
          <w:rFonts w:ascii="Arial" w:hAnsi="Arial" w:cs="Arial"/>
          <w:b/>
          <w:bCs/>
          <w:sz w:val="24"/>
          <w:szCs w:val="24"/>
          <w:lang w:val="en-US"/>
        </w:rPr>
        <w:t>NR_IIOT_URLLC_enh</w:t>
      </w:r>
      <w:bookmarkEnd w:id="0"/>
      <w:r w:rsidR="00074734">
        <w:rPr>
          <w:rFonts w:ascii="Arial" w:hAnsi="Arial" w:cs="Arial"/>
          <w:b/>
          <w:bCs/>
          <w:sz w:val="24"/>
          <w:szCs w:val="24"/>
          <w:lang w:val="en-US"/>
        </w:rPr>
        <w:t xml:space="preserve"> </w:t>
      </w:r>
      <w:r w:rsidR="00074734">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F27DB7" w14:textId="7A29D358" w:rsidR="00AE4B50" w:rsidRDefault="00AE4B50" w:rsidP="00AE4B50">
      <w:pPr>
        <w:jc w:val="both"/>
      </w:pPr>
      <w:r>
        <w:t xml:space="preserve">The revised Rel-17 NR IIoT / URLLC work item description in </w:t>
      </w:r>
      <w:r w:rsidRPr="00364881">
        <w:t>RP-</w:t>
      </w:r>
      <w:r w:rsidR="009053EC" w:rsidRPr="009053EC">
        <w:t>210854</w:t>
      </w:r>
      <w:r w:rsidR="009053EC">
        <w:t xml:space="preserve"> </w:t>
      </w:r>
      <w:r>
        <w:t>has enhancements for time synchronization as one of its main objectives:</w:t>
      </w:r>
    </w:p>
    <w:tbl>
      <w:tblPr>
        <w:tblStyle w:val="TableGrid"/>
        <w:tblW w:w="0" w:type="auto"/>
        <w:tblLook w:val="04A0" w:firstRow="1" w:lastRow="0" w:firstColumn="1" w:lastColumn="0" w:noHBand="0" w:noVBand="1"/>
      </w:tblPr>
      <w:tblGrid>
        <w:gridCol w:w="9629"/>
      </w:tblGrid>
      <w:tr w:rsidR="00AE4B50" w14:paraId="201C22C0" w14:textId="77777777" w:rsidTr="00ED6CD0">
        <w:tc>
          <w:tcPr>
            <w:tcW w:w="9629" w:type="dxa"/>
          </w:tcPr>
          <w:p w14:paraId="7DCDDCA6" w14:textId="77777777" w:rsidR="00AE4B50" w:rsidRDefault="00AE4B50" w:rsidP="00AE4B50">
            <w:pPr>
              <w:numPr>
                <w:ilvl w:val="0"/>
                <w:numId w:val="11"/>
              </w:numPr>
              <w:overflowPunct w:val="0"/>
              <w:autoSpaceDE w:val="0"/>
              <w:autoSpaceDN w:val="0"/>
              <w:adjustRightInd w:val="0"/>
              <w:spacing w:after="0"/>
              <w:textAlignment w:val="baseline"/>
              <w:rPr>
                <w:bCs/>
              </w:rPr>
            </w:pPr>
            <w:r>
              <w:rPr>
                <w:bCs/>
              </w:rPr>
              <w:t>Enhancements for support of time synchronization:</w:t>
            </w:r>
          </w:p>
          <w:p w14:paraId="5D96C038" w14:textId="77777777" w:rsidR="00AE4B50" w:rsidRDefault="00AE4B50" w:rsidP="00AE4B50">
            <w:pPr>
              <w:numPr>
                <w:ilvl w:val="0"/>
                <w:numId w:val="10"/>
              </w:numPr>
              <w:overflowPunct w:val="0"/>
              <w:autoSpaceDE w:val="0"/>
              <w:autoSpaceDN w:val="0"/>
              <w:adjustRightInd w:val="0"/>
              <w:spacing w:after="0"/>
              <w:textAlignment w:val="baseline"/>
              <w:rPr>
                <w:bCs/>
              </w:rPr>
            </w:pPr>
            <w:r>
              <w:t>RAN impacts of SA2 work on uplink time synchronization for TSN, if any.</w:t>
            </w:r>
            <w:r>
              <w:rPr>
                <w:bCs/>
              </w:rPr>
              <w:t xml:space="preserve"> [RAN2]</w:t>
            </w:r>
          </w:p>
          <w:p w14:paraId="7B58FE2E" w14:textId="77777777" w:rsidR="00AE4B50" w:rsidRPr="006D7B6E" w:rsidRDefault="00AE4B50" w:rsidP="00AE4B50">
            <w:pPr>
              <w:numPr>
                <w:ilvl w:val="0"/>
                <w:numId w:val="10"/>
              </w:numPr>
              <w:overflowPunct w:val="0"/>
              <w:autoSpaceDE w:val="0"/>
              <w:autoSpaceDN w:val="0"/>
              <w:adjustRightInd w:val="0"/>
              <w:spacing w:after="0"/>
              <w:textAlignment w:val="baseline"/>
              <w:rPr>
                <w:bCs/>
              </w:rPr>
            </w:pPr>
            <w:r w:rsidRPr="00D82787">
              <w:rPr>
                <w:bCs/>
              </w:rPr>
              <w:t>Propagation delay compensation enhancements</w:t>
            </w:r>
            <w:r>
              <w:rPr>
                <w:bCs/>
              </w:rPr>
              <w:t xml:space="preserve"> (including mobility issues, if any). [RAN2, RAN1, RAN3, RAN4]</w:t>
            </w:r>
          </w:p>
        </w:tc>
      </w:tr>
    </w:tbl>
    <w:p w14:paraId="726DD2EC" w14:textId="77777777" w:rsidR="00AE4B50" w:rsidRDefault="00AE4B50" w:rsidP="00AE4B50">
      <w:pPr>
        <w:spacing w:after="0"/>
        <w:jc w:val="both"/>
      </w:pPr>
    </w:p>
    <w:p w14:paraId="504393E6" w14:textId="512F3298" w:rsidR="00FF7BDF" w:rsidRDefault="00AE4B50" w:rsidP="00AE4B50">
      <w:pPr>
        <w:spacing w:after="0"/>
        <w:jc w:val="both"/>
      </w:pPr>
      <w:r>
        <w:t xml:space="preserve">This paper will discuss </w:t>
      </w:r>
      <w:r w:rsidR="00F56CA0">
        <w:t>the remaining RAN2 aspects related to propagation delay compensation</w:t>
      </w:r>
      <w:r>
        <w:t xml:space="preserve"> (which </w:t>
      </w:r>
      <w:r w:rsidR="004C65E5">
        <w:t xml:space="preserve">are </w:t>
      </w:r>
      <w:r>
        <w:t>agnostic to a specific PD</w:t>
      </w:r>
      <w:r w:rsidR="009053EC">
        <w:t xml:space="preserve"> estimation</w:t>
      </w:r>
      <w:r>
        <w:t xml:space="preserve"> </w:t>
      </w:r>
      <w:r w:rsidR="009053EC">
        <w:t>method</w:t>
      </w:r>
      <w:r>
        <w:t>)</w:t>
      </w:r>
      <w:r w:rsidR="00FF7BDF">
        <w:t>.</w:t>
      </w:r>
    </w:p>
    <w:p w14:paraId="4F547731" w14:textId="522B7872" w:rsidR="00A209D6" w:rsidRPr="006E13D1" w:rsidRDefault="00A209D6" w:rsidP="00B7538C">
      <w:pPr>
        <w:pStyle w:val="Heading1"/>
      </w:pPr>
      <w:r w:rsidRPr="006E13D1">
        <w:t>2</w:t>
      </w:r>
      <w:r w:rsidRPr="006E13D1">
        <w:tab/>
      </w:r>
      <w:r w:rsidR="002A2BD2">
        <w:t xml:space="preserve">Propagation delay compensation </w:t>
      </w:r>
      <w:r w:rsidR="0023170D">
        <w:t>signalling framework</w:t>
      </w:r>
    </w:p>
    <w:p w14:paraId="7407DFD5" w14:textId="275A138B" w:rsidR="00A87B28" w:rsidRDefault="002F217A" w:rsidP="001172C1">
      <w:pPr>
        <w:spacing w:after="0"/>
        <w:jc w:val="both"/>
      </w:pPr>
      <w:r>
        <w:t>It has been discussed whether the UE and/or the gNB should be standardized to conduct propagation delay compensation</w:t>
      </w:r>
      <w:r w:rsidR="00993B19">
        <w:t xml:space="preserve"> (PDC)</w:t>
      </w:r>
      <w:r>
        <w:t xml:space="preserve"> in Release-17. It is our view, that UE-based propagation delay compensation should </w:t>
      </w:r>
      <w:r w:rsidR="004C65E5">
        <w:t xml:space="preserve">be </w:t>
      </w:r>
      <w:r>
        <w:t xml:space="preserve">the primary solution </w:t>
      </w:r>
      <w:r w:rsidR="00A87B28">
        <w:t>for the following reasons:</w:t>
      </w:r>
    </w:p>
    <w:p w14:paraId="3D3CF9A3" w14:textId="45AC787D" w:rsidR="00A87B28" w:rsidRPr="001172C1" w:rsidRDefault="00774A43" w:rsidP="00A87B28">
      <w:pPr>
        <w:pStyle w:val="ListParagraph"/>
        <w:numPr>
          <w:ilvl w:val="0"/>
          <w:numId w:val="12"/>
        </w:numPr>
        <w:jc w:val="both"/>
        <w:rPr>
          <w:rFonts w:ascii="Times New Roman" w:eastAsia="Times New Roman" w:hAnsi="Times New Roman" w:cs="Times New Roman"/>
          <w:sz w:val="20"/>
          <w:szCs w:val="20"/>
          <w:lang w:val="en-GB" w:eastAsia="en-US"/>
        </w:rPr>
      </w:pPr>
      <w:r w:rsidRPr="00EF426F">
        <w:rPr>
          <w:rFonts w:ascii="Times New Roman" w:eastAsia="Times New Roman" w:hAnsi="Times New Roman" w:cs="Times New Roman"/>
          <w:b/>
          <w:bCs/>
          <w:sz w:val="20"/>
          <w:szCs w:val="20"/>
          <w:lang w:val="en-GB" w:eastAsia="en-US"/>
        </w:rPr>
        <w:t>Works with SIB9</w:t>
      </w:r>
      <w:r w:rsidRPr="001172C1">
        <w:rPr>
          <w:rFonts w:ascii="Times New Roman" w:eastAsia="Times New Roman" w:hAnsi="Times New Roman" w:cs="Times New Roman"/>
          <w:sz w:val="20"/>
          <w:szCs w:val="20"/>
          <w:lang w:val="en-GB" w:eastAsia="en-US"/>
        </w:rPr>
        <w:t xml:space="preserve">. </w:t>
      </w:r>
      <w:r w:rsidR="0023170D" w:rsidRPr="001172C1">
        <w:rPr>
          <w:rFonts w:ascii="Times New Roman" w:eastAsia="Times New Roman" w:hAnsi="Times New Roman" w:cs="Times New Roman"/>
          <w:sz w:val="20"/>
          <w:szCs w:val="20"/>
          <w:lang w:val="en-GB" w:eastAsia="en-US"/>
        </w:rPr>
        <w:t>The propagation delay between a gNB and a UE is</w:t>
      </w:r>
      <w:r w:rsidR="002F217A" w:rsidRPr="001172C1">
        <w:rPr>
          <w:rFonts w:ascii="Times New Roman" w:eastAsia="Times New Roman" w:hAnsi="Times New Roman" w:cs="Times New Roman"/>
          <w:sz w:val="20"/>
          <w:szCs w:val="20"/>
          <w:lang w:val="en-GB" w:eastAsia="en-US"/>
        </w:rPr>
        <w:t xml:space="preserve"> </w:t>
      </w:r>
      <w:r w:rsidR="0023170D" w:rsidRPr="001172C1">
        <w:rPr>
          <w:rFonts w:ascii="Times New Roman" w:eastAsia="Times New Roman" w:hAnsi="Times New Roman" w:cs="Times New Roman"/>
          <w:sz w:val="20"/>
          <w:szCs w:val="20"/>
          <w:lang w:val="en-GB" w:eastAsia="en-US"/>
        </w:rPr>
        <w:t>UE</w:t>
      </w:r>
      <w:r w:rsidR="00E5262D">
        <w:rPr>
          <w:rFonts w:ascii="Times New Roman" w:eastAsia="Times New Roman" w:hAnsi="Times New Roman" w:cs="Times New Roman"/>
          <w:sz w:val="20"/>
          <w:szCs w:val="20"/>
          <w:lang w:val="en-GB" w:eastAsia="en-US"/>
        </w:rPr>
        <w:t>-</w:t>
      </w:r>
      <w:r w:rsidR="0023170D" w:rsidRPr="001172C1">
        <w:rPr>
          <w:rFonts w:ascii="Times New Roman" w:eastAsia="Times New Roman" w:hAnsi="Times New Roman" w:cs="Times New Roman"/>
          <w:sz w:val="20"/>
          <w:szCs w:val="20"/>
          <w:lang w:val="en-GB" w:eastAsia="en-US"/>
        </w:rPr>
        <w:t>specific, and</w:t>
      </w:r>
      <w:r w:rsidR="001172C1" w:rsidRPr="001172C1">
        <w:rPr>
          <w:rFonts w:ascii="Times New Roman" w:eastAsia="Times New Roman" w:hAnsi="Times New Roman" w:cs="Times New Roman"/>
          <w:sz w:val="20"/>
          <w:szCs w:val="20"/>
          <w:lang w:val="en-GB" w:eastAsia="en-US"/>
        </w:rPr>
        <w:t xml:space="preserve"> UE-side PDC</w:t>
      </w:r>
      <w:r w:rsidR="0023170D" w:rsidRPr="001172C1">
        <w:rPr>
          <w:rFonts w:ascii="Times New Roman" w:eastAsia="Times New Roman" w:hAnsi="Times New Roman" w:cs="Times New Roman"/>
          <w:sz w:val="20"/>
          <w:szCs w:val="20"/>
          <w:lang w:val="en-GB" w:eastAsia="en-US"/>
        </w:rPr>
        <w:t xml:space="preserve"> will </w:t>
      </w:r>
      <w:r w:rsidR="001172C1" w:rsidRPr="001172C1">
        <w:rPr>
          <w:rFonts w:ascii="Times New Roman" w:eastAsia="Times New Roman" w:hAnsi="Times New Roman" w:cs="Times New Roman"/>
          <w:sz w:val="20"/>
          <w:szCs w:val="20"/>
          <w:lang w:val="en-GB" w:eastAsia="en-US"/>
        </w:rPr>
        <w:t xml:space="preserve">therefore </w:t>
      </w:r>
      <w:r w:rsidR="0023170D" w:rsidRPr="001172C1">
        <w:rPr>
          <w:rFonts w:ascii="Times New Roman" w:eastAsia="Times New Roman" w:hAnsi="Times New Roman" w:cs="Times New Roman"/>
          <w:sz w:val="20"/>
          <w:szCs w:val="20"/>
          <w:lang w:val="en-GB" w:eastAsia="en-US"/>
        </w:rPr>
        <w:t xml:space="preserve">allow the gNB to use SIB9 for delivery of referenceTimeInfo. </w:t>
      </w:r>
    </w:p>
    <w:p w14:paraId="537E8ACE" w14:textId="049727B5" w:rsidR="00774A43" w:rsidRDefault="00774A43" w:rsidP="00774A43">
      <w:pPr>
        <w:pStyle w:val="ListParagraph"/>
        <w:numPr>
          <w:ilvl w:val="0"/>
          <w:numId w:val="12"/>
        </w:numPr>
        <w:jc w:val="both"/>
        <w:rPr>
          <w:rFonts w:ascii="Times New Roman" w:eastAsia="Times New Roman" w:hAnsi="Times New Roman" w:cs="Times New Roman"/>
          <w:sz w:val="20"/>
          <w:szCs w:val="20"/>
          <w:lang w:val="en-GB" w:eastAsia="en-US"/>
        </w:rPr>
      </w:pPr>
      <w:r w:rsidRPr="00EF426F">
        <w:rPr>
          <w:rFonts w:ascii="Times New Roman" w:eastAsia="Times New Roman" w:hAnsi="Times New Roman" w:cs="Times New Roman"/>
          <w:b/>
          <w:bCs/>
          <w:sz w:val="20"/>
          <w:szCs w:val="20"/>
          <w:lang w:val="en-GB" w:eastAsia="en-US"/>
        </w:rPr>
        <w:t>Low specification impact</w:t>
      </w:r>
      <w:r w:rsidRPr="001172C1">
        <w:rPr>
          <w:rFonts w:ascii="Times New Roman" w:eastAsia="Times New Roman" w:hAnsi="Times New Roman" w:cs="Times New Roman"/>
          <w:sz w:val="20"/>
          <w:szCs w:val="20"/>
          <w:lang w:val="en-GB" w:eastAsia="en-US"/>
        </w:rPr>
        <w:t xml:space="preserve">. </w:t>
      </w:r>
      <w:r w:rsidR="0023170D" w:rsidRPr="001172C1">
        <w:rPr>
          <w:rFonts w:ascii="Times New Roman" w:eastAsia="Times New Roman" w:hAnsi="Times New Roman" w:cs="Times New Roman"/>
          <w:sz w:val="20"/>
          <w:szCs w:val="20"/>
          <w:lang w:val="en-GB" w:eastAsia="en-US"/>
        </w:rPr>
        <w:t xml:space="preserve">From RAN2 point of view, supporting UE-based PDC would </w:t>
      </w:r>
      <w:r w:rsidRPr="001172C1">
        <w:rPr>
          <w:rFonts w:ascii="Times New Roman" w:eastAsia="Times New Roman" w:hAnsi="Times New Roman" w:cs="Times New Roman"/>
          <w:sz w:val="20"/>
          <w:szCs w:val="20"/>
          <w:lang w:val="en-GB" w:eastAsia="en-US"/>
        </w:rPr>
        <w:t xml:space="preserve">only require </w:t>
      </w:r>
      <w:r w:rsidR="0023170D" w:rsidRPr="001172C1">
        <w:rPr>
          <w:rFonts w:ascii="Times New Roman" w:eastAsia="Times New Roman" w:hAnsi="Times New Roman" w:cs="Times New Roman"/>
          <w:sz w:val="20"/>
          <w:szCs w:val="20"/>
          <w:lang w:val="en-GB" w:eastAsia="en-US"/>
        </w:rPr>
        <w:t>a</w:t>
      </w:r>
      <w:r w:rsidRPr="001172C1">
        <w:rPr>
          <w:rFonts w:ascii="Times New Roman" w:eastAsia="Times New Roman" w:hAnsi="Times New Roman" w:cs="Times New Roman"/>
          <w:sz w:val="20"/>
          <w:szCs w:val="20"/>
          <w:lang w:val="en-GB" w:eastAsia="en-US"/>
        </w:rPr>
        <w:t>n activation/</w:t>
      </w:r>
      <w:r w:rsidR="001F55EC">
        <w:rPr>
          <w:rFonts w:ascii="Times New Roman" w:eastAsia="Times New Roman" w:hAnsi="Times New Roman" w:cs="Times New Roman"/>
          <w:sz w:val="20"/>
          <w:szCs w:val="20"/>
          <w:lang w:val="en-GB" w:eastAsia="en-US"/>
        </w:rPr>
        <w:t>d</w:t>
      </w:r>
      <w:r w:rsidRPr="001172C1">
        <w:rPr>
          <w:rFonts w:ascii="Times New Roman" w:eastAsia="Times New Roman" w:hAnsi="Times New Roman" w:cs="Times New Roman"/>
          <w:sz w:val="20"/>
          <w:szCs w:val="20"/>
          <w:lang w:val="en-GB" w:eastAsia="en-US"/>
        </w:rPr>
        <w:t>eactivation</w:t>
      </w:r>
      <w:r w:rsidR="0023170D" w:rsidRPr="001172C1">
        <w:rPr>
          <w:rFonts w:ascii="Times New Roman" w:eastAsia="Times New Roman" w:hAnsi="Times New Roman" w:cs="Times New Roman"/>
          <w:sz w:val="20"/>
          <w:szCs w:val="20"/>
          <w:lang w:val="en-GB" w:eastAsia="en-US"/>
        </w:rPr>
        <w:t xml:space="preserve"> signal </w:t>
      </w:r>
      <w:r w:rsidRPr="001172C1">
        <w:rPr>
          <w:rFonts w:ascii="Times New Roman" w:eastAsia="Times New Roman" w:hAnsi="Times New Roman" w:cs="Times New Roman"/>
          <w:sz w:val="20"/>
          <w:szCs w:val="20"/>
          <w:lang w:val="en-GB" w:eastAsia="en-US"/>
        </w:rPr>
        <w:t>to the UE.</w:t>
      </w:r>
    </w:p>
    <w:p w14:paraId="5AB64CCA" w14:textId="77777777" w:rsidR="001172C1" w:rsidRPr="001172C1" w:rsidRDefault="001172C1" w:rsidP="001172C1">
      <w:pPr>
        <w:pStyle w:val="ListParagraph"/>
        <w:jc w:val="both"/>
        <w:rPr>
          <w:rFonts w:ascii="Times New Roman" w:eastAsia="Times New Roman" w:hAnsi="Times New Roman" w:cs="Times New Roman"/>
          <w:sz w:val="20"/>
          <w:szCs w:val="20"/>
          <w:lang w:val="en-GB" w:eastAsia="en-US"/>
        </w:rPr>
      </w:pPr>
    </w:p>
    <w:p w14:paraId="1918B6F0" w14:textId="0BE72DB2" w:rsidR="001500FA" w:rsidRDefault="00696619" w:rsidP="00774A43">
      <w:pPr>
        <w:jc w:val="both"/>
      </w:pPr>
      <w:r>
        <w:t>The alternative to UE-based PDC is network</w:t>
      </w:r>
      <w:r w:rsidR="001F55EC">
        <w:t>-</w:t>
      </w:r>
      <w:r>
        <w:t xml:space="preserve">based propagation delay pre-compensation. This has the benefit </w:t>
      </w:r>
      <w:r w:rsidR="004C65E5">
        <w:t xml:space="preserve">of allowing </w:t>
      </w:r>
      <w:r>
        <w:t xml:space="preserve">the gNB to utilize a PD estimate it </w:t>
      </w:r>
      <w:r w:rsidR="00BA2BE9">
        <w:t xml:space="preserve">might have by implementation i.e. through timing </w:t>
      </w:r>
      <w:proofErr w:type="gramStart"/>
      <w:r w:rsidR="00BA2BE9">
        <w:t xml:space="preserve">advance </w:t>
      </w:r>
      <w:r>
        <w:t>,</w:t>
      </w:r>
      <w:proofErr w:type="gramEnd"/>
      <w:r>
        <w:t xml:space="preserve"> and does not require any </w:t>
      </w:r>
      <w:r w:rsidR="00872F9D">
        <w:t xml:space="preserve">action for the UE (and can even work with legacy devices in principle). </w:t>
      </w:r>
      <w:r w:rsidR="00A809C9">
        <w:t>As mentioned above, the</w:t>
      </w:r>
      <w:r w:rsidR="00872F9D">
        <w:t xml:space="preserve"> drawback</w:t>
      </w:r>
      <w:r w:rsidR="00A809C9">
        <w:t>s</w:t>
      </w:r>
      <w:r w:rsidR="00BC3079">
        <w:t xml:space="preserve"> is a) that NW-based PDC does not work with broadcast SIB9 as the DL PD can be assumed to be UE-specific and b) </w:t>
      </w:r>
      <w:r w:rsidR="00872F9D">
        <w:t>the sign</w:t>
      </w:r>
      <w:r w:rsidR="001F55EC">
        <w:t>i</w:t>
      </w:r>
      <w:r w:rsidR="00872F9D">
        <w:t>ficant RAN3 impact, as indicated by RAN3 in the LS [</w:t>
      </w:r>
      <w:r w:rsidR="000A24F8" w:rsidRPr="000A24F8">
        <w:t>R3-211136</w:t>
      </w:r>
      <w:r w:rsidR="00872F9D">
        <w:t>]</w:t>
      </w:r>
      <w:r w:rsidR="000A24F8">
        <w:t xml:space="preserve">. </w:t>
      </w:r>
      <w:r w:rsidR="00BC3079">
        <w:t xml:space="preserve">With these in mind, </w:t>
      </w:r>
      <w:r w:rsidR="002D3E46">
        <w:t xml:space="preserve">and the short timeline that remains with Release-17, the way forward </w:t>
      </w:r>
      <w:r w:rsidR="00A77CC8">
        <w:t>in RAN2 on who does PDC should be to</w:t>
      </w:r>
      <w:r w:rsidR="00767D7A">
        <w:t xml:space="preserve"> </w:t>
      </w:r>
      <w:r w:rsidR="00A77CC8">
        <w:t>o</w:t>
      </w:r>
      <w:r w:rsidR="00272096">
        <w:t xml:space="preserve">nly support UE-based propagation delay. </w:t>
      </w:r>
      <w:r w:rsidR="00872F9D">
        <w:t xml:space="preserve"> </w:t>
      </w:r>
    </w:p>
    <w:p w14:paraId="357841F3" w14:textId="66366473" w:rsidR="00587373" w:rsidRPr="00180414" w:rsidRDefault="00587373" w:rsidP="00774A43">
      <w:pPr>
        <w:jc w:val="both"/>
        <w:rPr>
          <w:b/>
          <w:bCs/>
        </w:rPr>
      </w:pPr>
      <w:r w:rsidRPr="00194A98">
        <w:rPr>
          <w:b/>
          <w:bCs/>
        </w:rPr>
        <w:t xml:space="preserve">Observation </w:t>
      </w:r>
      <w:r w:rsidRPr="00180414">
        <w:rPr>
          <w:b/>
          <w:bCs/>
        </w:rPr>
        <w:t xml:space="preserve">1: </w:t>
      </w:r>
      <w:r w:rsidR="007D192A" w:rsidRPr="00180414">
        <w:rPr>
          <w:b/>
          <w:bCs/>
        </w:rPr>
        <w:t xml:space="preserve">The remaining timeline in Release-17 </w:t>
      </w:r>
      <w:r w:rsidR="00910AE5" w:rsidRPr="00180414">
        <w:rPr>
          <w:b/>
          <w:bCs/>
        </w:rPr>
        <w:t xml:space="preserve">WI </w:t>
      </w:r>
      <w:r w:rsidR="007D192A" w:rsidRPr="00180414">
        <w:rPr>
          <w:b/>
          <w:bCs/>
        </w:rPr>
        <w:t xml:space="preserve">justifies down scoping of options in PDC enhancements. </w:t>
      </w:r>
      <w:r w:rsidR="0001195B" w:rsidRPr="00180414">
        <w:rPr>
          <w:b/>
          <w:bCs/>
        </w:rPr>
        <w:t xml:space="preserve">Between </w:t>
      </w:r>
      <w:r w:rsidR="007D192A" w:rsidRPr="00180414">
        <w:rPr>
          <w:b/>
          <w:bCs/>
        </w:rPr>
        <w:t xml:space="preserve">network and </w:t>
      </w:r>
      <w:r w:rsidRPr="00180414">
        <w:rPr>
          <w:b/>
          <w:bCs/>
        </w:rPr>
        <w:t xml:space="preserve">UE-side </w:t>
      </w:r>
      <w:r w:rsidR="007D192A" w:rsidRPr="00180414">
        <w:rPr>
          <w:b/>
          <w:bCs/>
        </w:rPr>
        <w:t>PDC</w:t>
      </w:r>
      <w:r w:rsidR="0001195B" w:rsidRPr="00180414">
        <w:rPr>
          <w:b/>
          <w:bCs/>
        </w:rPr>
        <w:t>,</w:t>
      </w:r>
      <w:r w:rsidR="007D192A" w:rsidRPr="00180414">
        <w:rPr>
          <w:b/>
          <w:bCs/>
        </w:rPr>
        <w:t xml:space="preserve"> </w:t>
      </w:r>
      <w:r w:rsidR="0001195B" w:rsidRPr="00180414">
        <w:rPr>
          <w:b/>
          <w:bCs/>
        </w:rPr>
        <w:t>UE-</w:t>
      </w:r>
      <w:r w:rsidR="007D192A" w:rsidRPr="00180414">
        <w:rPr>
          <w:b/>
          <w:bCs/>
        </w:rPr>
        <w:t>side PDC is the obvious c</w:t>
      </w:r>
      <w:r w:rsidRPr="00180414">
        <w:rPr>
          <w:b/>
          <w:bCs/>
        </w:rPr>
        <w:t xml:space="preserve">hoice as it works with </w:t>
      </w:r>
      <w:r w:rsidR="007D192A" w:rsidRPr="00180414">
        <w:rPr>
          <w:b/>
          <w:bCs/>
        </w:rPr>
        <w:t>SIB9 and has low specification impact overall.</w:t>
      </w:r>
    </w:p>
    <w:p w14:paraId="73600B9C" w14:textId="73A12292" w:rsidR="00272096" w:rsidRPr="00180414" w:rsidRDefault="00272096" w:rsidP="00774A43">
      <w:pPr>
        <w:jc w:val="both"/>
        <w:rPr>
          <w:b/>
          <w:bCs/>
        </w:rPr>
      </w:pPr>
      <w:r w:rsidRPr="00194A98">
        <w:rPr>
          <w:b/>
          <w:bCs/>
        </w:rPr>
        <w:t xml:space="preserve">Proposal </w:t>
      </w:r>
      <w:r w:rsidR="00194A98" w:rsidRPr="00194A98">
        <w:rPr>
          <w:b/>
          <w:bCs/>
        </w:rPr>
        <w:t>1</w:t>
      </w:r>
      <w:r w:rsidRPr="00180414">
        <w:rPr>
          <w:b/>
          <w:bCs/>
        </w:rPr>
        <w:t xml:space="preserve">: </w:t>
      </w:r>
      <w:r w:rsidR="0070060D" w:rsidRPr="00180414">
        <w:rPr>
          <w:b/>
          <w:bCs/>
        </w:rPr>
        <w:t>UE-side propagation delay compensation</w:t>
      </w:r>
      <w:r w:rsidR="00194A98" w:rsidRPr="00180414">
        <w:rPr>
          <w:b/>
          <w:bCs/>
        </w:rPr>
        <w:t xml:space="preserve"> is supported</w:t>
      </w:r>
      <w:r w:rsidR="0070060D" w:rsidRPr="00180414">
        <w:rPr>
          <w:b/>
          <w:bCs/>
        </w:rPr>
        <w:t xml:space="preserve"> in Release-17.</w:t>
      </w:r>
    </w:p>
    <w:p w14:paraId="7AEC60E1" w14:textId="3F7F750C" w:rsidR="000503AD" w:rsidRPr="00180414" w:rsidRDefault="000503AD" w:rsidP="00774A43">
      <w:pPr>
        <w:jc w:val="both"/>
        <w:rPr>
          <w:b/>
          <w:bCs/>
        </w:rPr>
      </w:pPr>
      <w:r w:rsidRPr="00194A98">
        <w:rPr>
          <w:b/>
          <w:bCs/>
        </w:rPr>
        <w:t xml:space="preserve">Proposal </w:t>
      </w:r>
      <w:r w:rsidR="00194A98" w:rsidRPr="00194A98">
        <w:rPr>
          <w:b/>
          <w:bCs/>
        </w:rPr>
        <w:t>2</w:t>
      </w:r>
      <w:r w:rsidRPr="00180414">
        <w:rPr>
          <w:b/>
          <w:bCs/>
        </w:rPr>
        <w:t xml:space="preserve">: </w:t>
      </w:r>
      <w:r w:rsidR="00194A98" w:rsidRPr="00180414">
        <w:rPr>
          <w:b/>
          <w:bCs/>
        </w:rPr>
        <w:t>Sp</w:t>
      </w:r>
      <w:r w:rsidR="00D37ED9" w:rsidRPr="00180414">
        <w:rPr>
          <w:b/>
          <w:bCs/>
        </w:rPr>
        <w:t xml:space="preserve">ecification of </w:t>
      </w:r>
      <w:r w:rsidRPr="00180414">
        <w:rPr>
          <w:b/>
          <w:bCs/>
        </w:rPr>
        <w:t xml:space="preserve">network-side propagation delay pre-compensation </w:t>
      </w:r>
      <w:r w:rsidR="00194A98" w:rsidRPr="00180414">
        <w:rPr>
          <w:b/>
          <w:bCs/>
        </w:rPr>
        <w:t xml:space="preserve">is not pursued </w:t>
      </w:r>
      <w:r w:rsidRPr="00180414">
        <w:rPr>
          <w:b/>
          <w:bCs/>
        </w:rPr>
        <w:t xml:space="preserve">in Release-17. </w:t>
      </w:r>
    </w:p>
    <w:p w14:paraId="636E76E1" w14:textId="5A876C52" w:rsidR="007D192A" w:rsidRDefault="009A2EE3" w:rsidP="004F6BB4">
      <w:pPr>
        <w:jc w:val="both"/>
      </w:pPr>
      <w:r>
        <w:t>When the UE is chosen to conduct PDC, it is critical that it has an up-</w:t>
      </w:r>
      <w:r w:rsidR="00EA30FC">
        <w:t>t</w:t>
      </w:r>
      <w:r>
        <w:t>o-date PD estimate</w:t>
      </w:r>
      <w:r w:rsidR="007A6B25">
        <w:t xml:space="preserve">. To keep it simple, RAN2 may assume that the gNB is responsible of ensuring that the UE has an up-to-date PD estimate. How the UE is signalled with a PD estimate will to some extend depend on the choice of PD method from RAN1. For example if TA is chosen as a PD estimation method, the UE already has an absolute TA value it may use, whereas if Rx-Tx based PD estimation method is chosen, the gNB needs to signal the UE with an Rx-Tx measurement to enable the UE to calculate the RTT and then the DL PD estimation. </w:t>
      </w:r>
    </w:p>
    <w:p w14:paraId="0BCB57A8" w14:textId="6560BEF1" w:rsidR="0023170D" w:rsidRPr="00491840" w:rsidRDefault="004F6BB4" w:rsidP="004F6BB4">
      <w:pPr>
        <w:jc w:val="both"/>
        <w:rPr>
          <w:b/>
          <w:bCs/>
        </w:rPr>
      </w:pPr>
      <w:r w:rsidRPr="00491840">
        <w:rPr>
          <w:b/>
          <w:bCs/>
        </w:rPr>
        <w:lastRenderedPageBreak/>
        <w:t xml:space="preserve">Proposal </w:t>
      </w:r>
      <w:r w:rsidR="00194A98">
        <w:rPr>
          <w:b/>
          <w:bCs/>
        </w:rPr>
        <w:t>3</w:t>
      </w:r>
      <w:r w:rsidRPr="00491840">
        <w:rPr>
          <w:b/>
          <w:bCs/>
        </w:rPr>
        <w:t xml:space="preserve">: RAN2 </w:t>
      </w:r>
      <w:r w:rsidR="007A6B25">
        <w:rPr>
          <w:b/>
          <w:bCs/>
        </w:rPr>
        <w:t>may assume that the</w:t>
      </w:r>
      <w:r w:rsidR="00194A98">
        <w:rPr>
          <w:b/>
          <w:bCs/>
        </w:rPr>
        <w:t xml:space="preserve"> PD estimation method would allow the</w:t>
      </w:r>
      <w:r w:rsidR="007A6B25">
        <w:rPr>
          <w:b/>
          <w:bCs/>
        </w:rPr>
        <w:t xml:space="preserve"> gNB </w:t>
      </w:r>
      <w:r w:rsidR="00194A98">
        <w:rPr>
          <w:b/>
          <w:bCs/>
        </w:rPr>
        <w:t xml:space="preserve">to </w:t>
      </w:r>
      <w:r w:rsidR="007A6B25">
        <w:rPr>
          <w:b/>
          <w:bCs/>
        </w:rPr>
        <w:t>ensure that the UE has an up-to-date PD</w:t>
      </w:r>
      <w:r w:rsidR="00E6033F">
        <w:rPr>
          <w:b/>
          <w:bCs/>
        </w:rPr>
        <w:t xml:space="preserve"> </w:t>
      </w:r>
      <w:r w:rsidR="00194A98">
        <w:rPr>
          <w:b/>
          <w:bCs/>
        </w:rPr>
        <w:t xml:space="preserve">estimate for compensation </w:t>
      </w:r>
      <w:r w:rsidR="00E6033F">
        <w:rPr>
          <w:b/>
          <w:bCs/>
        </w:rPr>
        <w:t xml:space="preserve">(no additional RAN2 impact </w:t>
      </w:r>
      <w:r w:rsidR="00194A98">
        <w:rPr>
          <w:b/>
          <w:bCs/>
        </w:rPr>
        <w:t xml:space="preserve">is </w:t>
      </w:r>
      <w:r w:rsidR="00E6033F">
        <w:rPr>
          <w:b/>
          <w:bCs/>
        </w:rPr>
        <w:t>expected)</w:t>
      </w:r>
      <w:r w:rsidRPr="00491840">
        <w:rPr>
          <w:b/>
          <w:bCs/>
        </w:rPr>
        <w:t>.</w:t>
      </w:r>
    </w:p>
    <w:p w14:paraId="14FF69E8" w14:textId="77777777" w:rsidR="004F6BB4" w:rsidRDefault="004F6BB4" w:rsidP="004F6BB4">
      <w:pPr>
        <w:jc w:val="both"/>
      </w:pPr>
      <w:r>
        <w:t xml:space="preserve">It is crucial to ensure that propagation delay will not be (over) compensated by both the network and the UE. Hence, it is needed to consider the signalling framework that allows gNB and UE to achieve a common understanding about which node should carry out PDC. The email discussion [7] visits several options on indications to instruct the UE whether PDC should be conducted. The following options were identified </w:t>
      </w:r>
      <w:proofErr w:type="gramStart"/>
      <w:r>
        <w:t>in  the</w:t>
      </w:r>
      <w:proofErr w:type="gramEnd"/>
      <w:r>
        <w:t xml:space="preserve"> email discussion</w:t>
      </w:r>
      <w:r w:rsidRPr="00ED4400">
        <w:t xml:space="preserve"> </w:t>
      </w:r>
      <w:r>
        <w:t>[7]:</w:t>
      </w:r>
    </w:p>
    <w:tbl>
      <w:tblPr>
        <w:tblStyle w:val="TableGrid"/>
        <w:tblW w:w="0" w:type="auto"/>
        <w:tblLook w:val="04A0" w:firstRow="1" w:lastRow="0" w:firstColumn="1" w:lastColumn="0" w:noHBand="0" w:noVBand="1"/>
      </w:tblPr>
      <w:tblGrid>
        <w:gridCol w:w="9631"/>
      </w:tblGrid>
      <w:tr w:rsidR="004F6BB4" w14:paraId="6138FEB0" w14:textId="77777777" w:rsidTr="00ED6CD0">
        <w:tc>
          <w:tcPr>
            <w:tcW w:w="9631" w:type="dxa"/>
          </w:tcPr>
          <w:p w14:paraId="258EB795" w14:textId="77777777" w:rsidR="004F6BB4" w:rsidRPr="00667259" w:rsidRDefault="004F6BB4" w:rsidP="004F6BB4">
            <w:pPr>
              <w:pStyle w:val="ListParagraph"/>
              <w:numPr>
                <w:ilvl w:val="0"/>
                <w:numId w:val="8"/>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1: The gNB indicates to the UE whether it has done pre-compensation ([2], [10])</w:t>
            </w:r>
          </w:p>
          <w:p w14:paraId="6F25A1D9" w14:textId="77777777" w:rsidR="004F6BB4" w:rsidRPr="00667259" w:rsidRDefault="004F6BB4" w:rsidP="004F6BB4">
            <w:pPr>
              <w:pStyle w:val="ListParagraph"/>
              <w:numPr>
                <w:ilvl w:val="0"/>
                <w:numId w:val="8"/>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2: The gNB enables/disables UE-side PDC via an indication in unicast-RRC signal ([3])</w:t>
            </w:r>
          </w:p>
          <w:p w14:paraId="11BEF00E" w14:textId="77777777" w:rsidR="004F6BB4" w:rsidRPr="00667259" w:rsidRDefault="004F6BB4" w:rsidP="004F6BB4">
            <w:pPr>
              <w:pStyle w:val="ListParagraph"/>
              <w:numPr>
                <w:ilvl w:val="0"/>
                <w:numId w:val="8"/>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3: The gNB enables/disables UE-side PDC via an indication in SIB ([8])</w:t>
            </w:r>
          </w:p>
          <w:p w14:paraId="650C040D" w14:textId="77777777" w:rsidR="004F6BB4" w:rsidRPr="00667259" w:rsidRDefault="004F6BB4" w:rsidP="004F6BB4">
            <w:pPr>
              <w:pStyle w:val="ListParagraph"/>
              <w:numPr>
                <w:ilvl w:val="0"/>
                <w:numId w:val="8"/>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4: The gNB configures the UE with a PD threshold. The UE conducts PD compensation when the PD estimation is above the PD threshold ([12])</w:t>
            </w:r>
          </w:p>
          <w:p w14:paraId="1904650E" w14:textId="77777777" w:rsidR="004F6BB4" w:rsidRPr="00667259" w:rsidRDefault="004F6BB4" w:rsidP="004F6BB4">
            <w:pPr>
              <w:pStyle w:val="ListParagraph"/>
              <w:numPr>
                <w:ilvl w:val="0"/>
                <w:numId w:val="8"/>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5: The UE requests a PD estimation update ([16])</w:t>
            </w:r>
          </w:p>
          <w:p w14:paraId="58A58700" w14:textId="77777777" w:rsidR="004F6BB4" w:rsidRPr="00667259" w:rsidRDefault="004F6BB4" w:rsidP="004F6BB4">
            <w:pPr>
              <w:pStyle w:val="ListParagraph"/>
              <w:numPr>
                <w:ilvl w:val="0"/>
                <w:numId w:val="8"/>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6: Others</w:t>
            </w:r>
          </w:p>
        </w:tc>
      </w:tr>
    </w:tbl>
    <w:p w14:paraId="628F9128" w14:textId="77777777" w:rsidR="004F6BB4" w:rsidRDefault="004F6BB4" w:rsidP="004F6BB4">
      <w:pPr>
        <w:jc w:val="both"/>
      </w:pPr>
    </w:p>
    <w:p w14:paraId="38C0A8F6" w14:textId="4B8A0A34" w:rsidR="004F6BB4" w:rsidRPr="00183E87" w:rsidRDefault="004F6BB4" w:rsidP="004F6BB4">
      <w:pPr>
        <w:jc w:val="both"/>
        <w:rPr>
          <w:b/>
          <w:bCs/>
        </w:rPr>
      </w:pPr>
      <w:r>
        <w:t xml:space="preserve">Option 1 to 4 allow the UE to </w:t>
      </w:r>
      <w:r w:rsidR="00E5262D">
        <w:t xml:space="preserve">become aware or determine </w:t>
      </w:r>
      <w:r>
        <w:t>if PDC should be undertaken (based on explicit indication from the gNB or triggered by a specified event). When the UE is configured not to do PDC, most likely the gNB has decided that PDC does not improve the accuracy or the gNB has already carried out pre-compensation. The indications of Option 2 and 3 are basically the same, although they are carried by a unicast message, or as a broadcast message, respectively. The benefit of a unicast indication is that the gNB is able to configure UEs individually and as PD is UE specific, and not expected to change frequently, such indication is preferred. The benefits of a broadcasted PDC trigger would need to be further study if it should be considered.</w:t>
      </w:r>
    </w:p>
    <w:p w14:paraId="521EC1C1" w14:textId="10BD09DD" w:rsidR="004F6BB4" w:rsidRDefault="004F6BB4" w:rsidP="004F6BB4">
      <w:pPr>
        <w:jc w:val="both"/>
      </w:pPr>
      <w:r>
        <w:t xml:space="preserve">We may group Option 1 to 3 as all rely on a binary indication (enable or disable) of UE-based PDC and then Option 4 where the network configures the UE with a PD threshold, and leave the evaluation of whether the current PD estimation is above or below this PD threshold. A binary indication would be the simplest option to standardize and to handle by the UE. The threshold-based mechanism is more beneficial when the network would have to frequently change indication to the UE, but this is not expected to be needed despite some accuracy benefits of timely disabling PDC when the UE is sufficiently close to the gNB. </w:t>
      </w:r>
    </w:p>
    <w:p w14:paraId="3F301D5B" w14:textId="09B640E4" w:rsidR="00CE7A92" w:rsidRDefault="00CE7A92" w:rsidP="004F6BB4">
      <w:pPr>
        <w:jc w:val="both"/>
      </w:pPr>
      <w:r>
        <w:t xml:space="preserve">With a simple binary indication for UE-side PDC, </w:t>
      </w:r>
      <w:r w:rsidRPr="00CE7A92">
        <w:t>the UE</w:t>
      </w:r>
      <w:r>
        <w:t xml:space="preserve"> will not expect the gNB to have done any pre-compensation when it is configured to do PDC.</w:t>
      </w:r>
      <w:r w:rsidRPr="00CE7A92">
        <w:t xml:space="preserve"> However, when the UE is not configured for PDC, the UE is not expected to do PDC and it can be left for gNB implementation whether or not it has conducted pre-compensation.</w:t>
      </w:r>
    </w:p>
    <w:p w14:paraId="00FBE188" w14:textId="2FE40FB2" w:rsidR="004F6BB4" w:rsidRPr="003B2F95" w:rsidRDefault="004F6BB4" w:rsidP="004F6BB4">
      <w:pPr>
        <w:spacing w:after="0"/>
        <w:jc w:val="both"/>
        <w:rPr>
          <w:b/>
          <w:bCs/>
        </w:rPr>
      </w:pPr>
      <w:r w:rsidRPr="003A4F32">
        <w:rPr>
          <w:b/>
          <w:bCs/>
        </w:rPr>
        <w:t>Propo</w:t>
      </w:r>
      <w:r w:rsidRPr="003B2F95">
        <w:rPr>
          <w:b/>
          <w:bCs/>
        </w:rPr>
        <w:t>sal</w:t>
      </w:r>
      <w:r w:rsidR="00EF426F">
        <w:rPr>
          <w:b/>
          <w:bCs/>
        </w:rPr>
        <w:t xml:space="preserve"> </w:t>
      </w:r>
      <w:r w:rsidR="00194A98">
        <w:rPr>
          <w:b/>
          <w:bCs/>
        </w:rPr>
        <w:t>4</w:t>
      </w:r>
      <w:r w:rsidRPr="0028304A">
        <w:rPr>
          <w:b/>
          <w:bCs/>
        </w:rPr>
        <w:t xml:space="preserve">: </w:t>
      </w:r>
      <w:r w:rsidRPr="0028304A">
        <w:rPr>
          <w:b/>
          <w:bCs/>
          <w:lang w:val="en-US"/>
        </w:rPr>
        <w:t>The gNB enables/disables UE-side PDC via a unicasted</w:t>
      </w:r>
      <w:r>
        <w:rPr>
          <w:b/>
          <w:bCs/>
          <w:lang w:val="en-US"/>
        </w:rPr>
        <w:t xml:space="preserve"> explicit </w:t>
      </w:r>
      <w:r w:rsidR="005C4C11">
        <w:rPr>
          <w:b/>
          <w:bCs/>
          <w:lang w:val="en-US"/>
        </w:rPr>
        <w:t xml:space="preserve">binary </w:t>
      </w:r>
      <w:r w:rsidRPr="0028304A">
        <w:rPr>
          <w:b/>
          <w:bCs/>
          <w:lang w:val="en-US"/>
        </w:rPr>
        <w:t>indication</w:t>
      </w:r>
      <w:r w:rsidRPr="003B2F95">
        <w:rPr>
          <w:b/>
          <w:bCs/>
        </w:rPr>
        <w:t>.</w:t>
      </w:r>
    </w:p>
    <w:p w14:paraId="7AFA0687" w14:textId="77777777" w:rsidR="004F6BB4" w:rsidRPr="00EE1F7F" w:rsidRDefault="004F6BB4" w:rsidP="004F6BB4">
      <w:pPr>
        <w:pStyle w:val="ListParagraph"/>
        <w:jc w:val="both"/>
        <w:rPr>
          <w:rFonts w:ascii="Times New Roman" w:eastAsia="Times New Roman" w:hAnsi="Times New Roman" w:cs="Times New Roman"/>
          <w:b/>
          <w:bCs/>
          <w:sz w:val="20"/>
          <w:szCs w:val="20"/>
          <w:lang w:val="en-GB" w:eastAsia="en-US"/>
        </w:rPr>
      </w:pPr>
    </w:p>
    <w:p w14:paraId="49DB78DD" w14:textId="285C5414" w:rsidR="00656076" w:rsidRDefault="0091528E" w:rsidP="005E2729">
      <w:pPr>
        <w:jc w:val="both"/>
      </w:pPr>
      <w:r>
        <w:t xml:space="preserve">UE assistance information </w:t>
      </w:r>
      <w:r w:rsidR="003E68D1">
        <w:t xml:space="preserve">can aid the gNB </w:t>
      </w:r>
      <w:r w:rsidR="006E4B2D">
        <w:t xml:space="preserve">configuring and maintaining propagation delay compensation and the time synchronization service. One </w:t>
      </w:r>
      <w:r w:rsidR="00887C10">
        <w:t>UE assistance</w:t>
      </w:r>
      <w:r w:rsidR="007F78C0">
        <w:t xml:space="preserve"> feature</w:t>
      </w:r>
      <w:r w:rsidR="00887C10">
        <w:t xml:space="preserve"> </w:t>
      </w:r>
      <w:r w:rsidR="007F78C0">
        <w:t xml:space="preserve">which could be considered </w:t>
      </w:r>
      <w:r w:rsidR="006E4B2D">
        <w:t xml:space="preserve">is </w:t>
      </w:r>
      <w:r w:rsidR="007F78C0">
        <w:t xml:space="preserve">where </w:t>
      </w:r>
      <w:r w:rsidR="006E4B2D">
        <w:t>the</w:t>
      </w:r>
      <w:r w:rsidR="004F6BB4">
        <w:t xml:space="preserve"> UE </w:t>
      </w:r>
      <w:r w:rsidR="007F78C0">
        <w:t xml:space="preserve">is </w:t>
      </w:r>
      <w:r w:rsidR="004F6BB4">
        <w:t>able to request a PD estimation update (i.e. Option 5</w:t>
      </w:r>
      <w:r w:rsidR="00887C10">
        <w:t xml:space="preserve"> from above</w:t>
      </w:r>
      <w:r w:rsidR="004F6BB4">
        <w:t xml:space="preserve">). If </w:t>
      </w:r>
      <w:r w:rsidR="007F78C0">
        <w:t xml:space="preserve">such </w:t>
      </w:r>
      <w:r w:rsidR="00887C10">
        <w:t>feature</w:t>
      </w:r>
      <w:r w:rsidR="004F6BB4">
        <w:t xml:space="preserve"> is to be supported, it </w:t>
      </w:r>
      <w:r w:rsidR="007F78C0">
        <w:t xml:space="preserve">is needed to assume </w:t>
      </w:r>
      <w:r w:rsidR="004F6BB4">
        <w:t xml:space="preserve">that the internal oscillator of the UE is sufficiently stable, such that </w:t>
      </w:r>
      <w:r w:rsidR="00BD465D">
        <w:t>the UE</w:t>
      </w:r>
      <w:r w:rsidR="004F6BB4">
        <w:t xml:space="preserve"> can detect a change in the DL frame timing at the UE, which could </w:t>
      </w:r>
      <w:r w:rsidR="00F52D32">
        <w:t xml:space="preserve">happen </w:t>
      </w:r>
      <w:r w:rsidR="004F6BB4">
        <w:t>due to a change in the propagation delay. If the UE internal oscillator is not sufficiently accurate, it will not be able to distinguish whether the change in DL frame timing is due to the propagation delay or due to its oscillator is drifting.</w:t>
      </w:r>
      <w:r w:rsidR="00A619A2">
        <w:t xml:space="preserve"> Another feature is the UE assisting the gNB with </w:t>
      </w:r>
      <w:r w:rsidR="00FE2D2F">
        <w:t xml:space="preserve">information to determine the needed periodicity of referenceTimeInfo delivery. Similar arguments apply as for the UE initiated PDC, that </w:t>
      </w:r>
      <w:r w:rsidR="00122041">
        <w:t>the UE need to have some accurate understanding of its internal oscillator (at least on a statistical level)</w:t>
      </w:r>
      <w:r w:rsidR="00656076">
        <w:t xml:space="preserve">.  </w:t>
      </w:r>
      <w:r w:rsidR="00F421D5">
        <w:t>Such feature would however be simple to standardize as it can be an extension to the UEAssistanceInfo where the UE may already request to receive referenceTimeInfo.</w:t>
      </w:r>
    </w:p>
    <w:p w14:paraId="3809F456" w14:textId="79125024" w:rsidR="005E2729" w:rsidRDefault="00656076" w:rsidP="00F421D5">
      <w:pPr>
        <w:jc w:val="both"/>
      </w:pPr>
      <w:proofErr w:type="gramStart"/>
      <w:r>
        <w:t>Generally</w:t>
      </w:r>
      <w:proofErr w:type="gramEnd"/>
      <w:r>
        <w:t xml:space="preserve"> t</w:t>
      </w:r>
      <w:r w:rsidR="00A619A2">
        <w:t xml:space="preserve">he benefits of </w:t>
      </w:r>
      <w:r>
        <w:t>th</w:t>
      </w:r>
      <w:r w:rsidR="00605A00">
        <w:t>is</w:t>
      </w:r>
      <w:r w:rsidR="00A619A2">
        <w:t xml:space="preserve"> feature should be further studied before we introduce i</w:t>
      </w:r>
      <w:r w:rsidR="00F52D32">
        <w:t>t</w:t>
      </w:r>
      <w:r w:rsidR="00A619A2">
        <w:t xml:space="preserve"> to the specification and given the remaining timeline in Release-17 we propose to not further pursue UE assistance information of propagation delay compensation in Release-17, but await Release-18. </w:t>
      </w:r>
    </w:p>
    <w:p w14:paraId="32961BD4" w14:textId="083D0DCD" w:rsidR="00F421D5" w:rsidRPr="00EF426F" w:rsidRDefault="00F421D5" w:rsidP="00F421D5">
      <w:pPr>
        <w:jc w:val="both"/>
        <w:rPr>
          <w:b/>
          <w:bCs/>
        </w:rPr>
      </w:pPr>
      <w:r w:rsidRPr="006C0011">
        <w:rPr>
          <w:b/>
          <w:bCs/>
        </w:rPr>
        <w:t xml:space="preserve">Proposal </w:t>
      </w:r>
      <w:r w:rsidR="00194A98">
        <w:rPr>
          <w:b/>
          <w:bCs/>
        </w:rPr>
        <w:t>5</w:t>
      </w:r>
      <w:r w:rsidRPr="006C0011">
        <w:rPr>
          <w:b/>
          <w:bCs/>
        </w:rPr>
        <w:t>:</w:t>
      </w:r>
      <w:r w:rsidRPr="00EF426F">
        <w:rPr>
          <w:b/>
          <w:bCs/>
        </w:rPr>
        <w:t xml:space="preserve"> </w:t>
      </w:r>
      <w:r w:rsidR="00207DDF" w:rsidRPr="00EF426F">
        <w:rPr>
          <w:b/>
          <w:bCs/>
        </w:rPr>
        <w:t>RAN2 do</w:t>
      </w:r>
      <w:r w:rsidR="006C0011">
        <w:rPr>
          <w:b/>
          <w:bCs/>
        </w:rPr>
        <w:t>es</w:t>
      </w:r>
      <w:r w:rsidR="00207DDF" w:rsidRPr="00EF426F">
        <w:rPr>
          <w:b/>
          <w:bCs/>
        </w:rPr>
        <w:t xml:space="preserve"> not further consider UE assistance information for propagation delay compensation</w:t>
      </w:r>
      <w:r w:rsidR="00194A98" w:rsidRPr="00194A98">
        <w:rPr>
          <w:b/>
          <w:bCs/>
        </w:rPr>
        <w:t xml:space="preserve"> </w:t>
      </w:r>
      <w:r w:rsidR="00194A98">
        <w:rPr>
          <w:b/>
          <w:bCs/>
        </w:rPr>
        <w:t>in Release-17.</w:t>
      </w:r>
    </w:p>
    <w:p w14:paraId="5FF2457F" w14:textId="11A84A2C" w:rsidR="00A209D6" w:rsidRPr="006E13D1" w:rsidRDefault="00A209D6" w:rsidP="00A209D6">
      <w:pPr>
        <w:pStyle w:val="Heading1"/>
      </w:pPr>
      <w:r w:rsidRPr="006E13D1">
        <w:t>4</w:t>
      </w:r>
      <w:r w:rsidRPr="006E13D1">
        <w:tab/>
      </w:r>
      <w:r w:rsidR="008C3057">
        <w:t>Conclusion</w:t>
      </w:r>
    </w:p>
    <w:p w14:paraId="1ED12ED0" w14:textId="06BD2244" w:rsidR="004F73A7" w:rsidRDefault="00194A98" w:rsidP="004F6BB4">
      <w:r>
        <w:t>In this paper, we have discussed several aspects about signalling to support propagation delay compensation for time-synchronization support. The discussion leads to the following proposals:</w:t>
      </w:r>
    </w:p>
    <w:p w14:paraId="0A708565" w14:textId="77777777" w:rsidR="00194A98" w:rsidRPr="003F1B9B" w:rsidRDefault="00194A98" w:rsidP="00194A98">
      <w:pPr>
        <w:jc w:val="both"/>
        <w:rPr>
          <w:b/>
          <w:bCs/>
        </w:rPr>
      </w:pPr>
      <w:r w:rsidRPr="003F1B9B">
        <w:rPr>
          <w:b/>
          <w:bCs/>
        </w:rPr>
        <w:t>Proposal 1: UE-side propagation delay compensation is supported in Release-17.</w:t>
      </w:r>
    </w:p>
    <w:p w14:paraId="19BA20BA" w14:textId="77777777" w:rsidR="00194A98" w:rsidRPr="003F1B9B" w:rsidRDefault="00194A98" w:rsidP="00194A98">
      <w:pPr>
        <w:jc w:val="both"/>
        <w:rPr>
          <w:b/>
          <w:bCs/>
        </w:rPr>
      </w:pPr>
      <w:r w:rsidRPr="003F1B9B">
        <w:rPr>
          <w:b/>
          <w:bCs/>
        </w:rPr>
        <w:lastRenderedPageBreak/>
        <w:t xml:space="preserve">Proposal 2: Specification of network-side propagation delay pre-compensation is not pursued in Release-17. </w:t>
      </w:r>
    </w:p>
    <w:p w14:paraId="14061BC2" w14:textId="77777777" w:rsidR="00194A98" w:rsidRPr="00491840" w:rsidRDefault="00194A98" w:rsidP="00194A98">
      <w:pPr>
        <w:jc w:val="both"/>
        <w:rPr>
          <w:b/>
          <w:bCs/>
        </w:rPr>
      </w:pPr>
      <w:r w:rsidRPr="00491840">
        <w:rPr>
          <w:b/>
          <w:bCs/>
        </w:rPr>
        <w:t xml:space="preserve">Proposal </w:t>
      </w:r>
      <w:r>
        <w:rPr>
          <w:b/>
          <w:bCs/>
        </w:rPr>
        <w:t>3</w:t>
      </w:r>
      <w:r w:rsidRPr="00491840">
        <w:rPr>
          <w:b/>
          <w:bCs/>
        </w:rPr>
        <w:t xml:space="preserve">: RAN2 </w:t>
      </w:r>
      <w:r>
        <w:rPr>
          <w:b/>
          <w:bCs/>
        </w:rPr>
        <w:t>may assume that the PD estimation method would allow the gNB to ensure that the UE has an up-to-date PD estimate for compensation (no additional RAN2 impact is expected)</w:t>
      </w:r>
      <w:r w:rsidRPr="00491840">
        <w:rPr>
          <w:b/>
          <w:bCs/>
        </w:rPr>
        <w:t>.</w:t>
      </w:r>
    </w:p>
    <w:p w14:paraId="3FB491E0" w14:textId="78DA743B" w:rsidR="00194A98" w:rsidRDefault="00194A98" w:rsidP="00194A98">
      <w:pPr>
        <w:spacing w:after="0"/>
        <w:jc w:val="both"/>
        <w:rPr>
          <w:b/>
          <w:bCs/>
        </w:rPr>
      </w:pPr>
      <w:r w:rsidRPr="003A4F32">
        <w:rPr>
          <w:b/>
          <w:bCs/>
        </w:rPr>
        <w:t>Propo</w:t>
      </w:r>
      <w:r w:rsidRPr="003B2F95">
        <w:rPr>
          <w:b/>
          <w:bCs/>
        </w:rPr>
        <w:t>sal</w:t>
      </w:r>
      <w:r>
        <w:rPr>
          <w:b/>
          <w:bCs/>
        </w:rPr>
        <w:t xml:space="preserve"> 4</w:t>
      </w:r>
      <w:r w:rsidRPr="0028304A">
        <w:rPr>
          <w:b/>
          <w:bCs/>
        </w:rPr>
        <w:t xml:space="preserve">: </w:t>
      </w:r>
      <w:r w:rsidRPr="0028304A">
        <w:rPr>
          <w:b/>
          <w:bCs/>
          <w:lang w:val="en-US"/>
        </w:rPr>
        <w:t>The gNB enables/disables UE-side PDC via a unicasted</w:t>
      </w:r>
      <w:r>
        <w:rPr>
          <w:b/>
          <w:bCs/>
          <w:lang w:val="en-US"/>
        </w:rPr>
        <w:t xml:space="preserve"> explicit binary </w:t>
      </w:r>
      <w:r w:rsidRPr="0028304A">
        <w:rPr>
          <w:b/>
          <w:bCs/>
          <w:lang w:val="en-US"/>
        </w:rPr>
        <w:t>indication</w:t>
      </w:r>
      <w:r w:rsidRPr="003B2F95">
        <w:rPr>
          <w:b/>
          <w:bCs/>
        </w:rPr>
        <w:t>.</w:t>
      </w:r>
    </w:p>
    <w:p w14:paraId="6FA9EB26" w14:textId="77777777" w:rsidR="00194A98" w:rsidRPr="00180414" w:rsidRDefault="00194A98" w:rsidP="00180414">
      <w:pPr>
        <w:spacing w:after="0"/>
        <w:jc w:val="both"/>
        <w:rPr>
          <w:b/>
          <w:bCs/>
        </w:rPr>
      </w:pPr>
    </w:p>
    <w:p w14:paraId="0796CE2D" w14:textId="2D562F6E" w:rsidR="00194A98" w:rsidRPr="00EF426F" w:rsidRDefault="00194A98" w:rsidP="00194A98">
      <w:pPr>
        <w:jc w:val="both"/>
        <w:rPr>
          <w:b/>
          <w:bCs/>
        </w:rPr>
      </w:pPr>
      <w:r w:rsidRPr="003F1B9B">
        <w:rPr>
          <w:b/>
          <w:bCs/>
        </w:rPr>
        <w:t xml:space="preserve">Proposal </w:t>
      </w:r>
      <w:r>
        <w:rPr>
          <w:b/>
          <w:bCs/>
        </w:rPr>
        <w:t>5</w:t>
      </w:r>
      <w:r w:rsidRPr="003F1B9B">
        <w:rPr>
          <w:b/>
          <w:bCs/>
        </w:rPr>
        <w:t>:</w:t>
      </w:r>
      <w:r w:rsidRPr="00EF426F">
        <w:rPr>
          <w:b/>
          <w:bCs/>
        </w:rPr>
        <w:t xml:space="preserve"> RAN2 do</w:t>
      </w:r>
      <w:r>
        <w:rPr>
          <w:b/>
          <w:bCs/>
        </w:rPr>
        <w:t>es</w:t>
      </w:r>
      <w:r w:rsidRPr="00EF426F">
        <w:rPr>
          <w:b/>
          <w:bCs/>
        </w:rPr>
        <w:t xml:space="preserve"> not further consider UE assistance information for propagation delay compensation</w:t>
      </w:r>
      <w:r>
        <w:rPr>
          <w:b/>
          <w:bCs/>
        </w:rPr>
        <w:t xml:space="preserve"> in Release-17.</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5B7FE" w14:textId="77777777" w:rsidR="00ED6CD0" w:rsidRDefault="00ED6CD0">
      <w:r>
        <w:separator/>
      </w:r>
    </w:p>
  </w:endnote>
  <w:endnote w:type="continuationSeparator" w:id="0">
    <w:p w14:paraId="43792F20" w14:textId="77777777" w:rsidR="00ED6CD0" w:rsidRDefault="00ED6CD0">
      <w:r>
        <w:continuationSeparator/>
      </w:r>
    </w:p>
  </w:endnote>
  <w:endnote w:type="continuationNotice" w:id="1">
    <w:p w14:paraId="0F2C9DF2" w14:textId="77777777" w:rsidR="00ED6CD0" w:rsidRDefault="00ED6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01A98" w14:textId="77777777" w:rsidR="00ED6CD0" w:rsidRDefault="00ED6CD0">
      <w:r>
        <w:separator/>
      </w:r>
    </w:p>
  </w:footnote>
  <w:footnote w:type="continuationSeparator" w:id="0">
    <w:p w14:paraId="1206141D" w14:textId="77777777" w:rsidR="00ED6CD0" w:rsidRDefault="00ED6CD0">
      <w:r>
        <w:continuationSeparator/>
      </w:r>
    </w:p>
  </w:footnote>
  <w:footnote w:type="continuationNotice" w:id="1">
    <w:p w14:paraId="0B59092F" w14:textId="77777777" w:rsidR="00ED6CD0" w:rsidRDefault="00ED6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DA483A"/>
    <w:multiLevelType w:val="hybridMultilevel"/>
    <w:tmpl w:val="2542A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8C2FD2"/>
    <w:multiLevelType w:val="hybridMultilevel"/>
    <w:tmpl w:val="0F6AB99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E12C1"/>
    <w:multiLevelType w:val="hybridMultilevel"/>
    <w:tmpl w:val="6C2E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10"/>
  </w:num>
  <w:num w:numId="10">
    <w:abstractNumId w:val="6"/>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95B"/>
    <w:rsid w:val="00016557"/>
    <w:rsid w:val="00023C40"/>
    <w:rsid w:val="00033397"/>
    <w:rsid w:val="00040095"/>
    <w:rsid w:val="000503AD"/>
    <w:rsid w:val="00065268"/>
    <w:rsid w:val="00073C9C"/>
    <w:rsid w:val="00074734"/>
    <w:rsid w:val="00080512"/>
    <w:rsid w:val="00090468"/>
    <w:rsid w:val="00094568"/>
    <w:rsid w:val="000A24F8"/>
    <w:rsid w:val="000B7BCF"/>
    <w:rsid w:val="000C1946"/>
    <w:rsid w:val="000C522B"/>
    <w:rsid w:val="000D58AB"/>
    <w:rsid w:val="00112F1A"/>
    <w:rsid w:val="001172C1"/>
    <w:rsid w:val="00122041"/>
    <w:rsid w:val="00145075"/>
    <w:rsid w:val="001500FA"/>
    <w:rsid w:val="001741A0"/>
    <w:rsid w:val="00175FA0"/>
    <w:rsid w:val="00180414"/>
    <w:rsid w:val="00194A98"/>
    <w:rsid w:val="00194CD0"/>
    <w:rsid w:val="001B49C9"/>
    <w:rsid w:val="001C23F4"/>
    <w:rsid w:val="001C4F79"/>
    <w:rsid w:val="001D37D8"/>
    <w:rsid w:val="001E6A96"/>
    <w:rsid w:val="001F168B"/>
    <w:rsid w:val="001F55EC"/>
    <w:rsid w:val="001F7831"/>
    <w:rsid w:val="00204045"/>
    <w:rsid w:val="0020712B"/>
    <w:rsid w:val="00207DDF"/>
    <w:rsid w:val="0022606D"/>
    <w:rsid w:val="0023170D"/>
    <w:rsid w:val="00231728"/>
    <w:rsid w:val="00244A05"/>
    <w:rsid w:val="00250404"/>
    <w:rsid w:val="002610D8"/>
    <w:rsid w:val="00272096"/>
    <w:rsid w:val="002747EC"/>
    <w:rsid w:val="002855BF"/>
    <w:rsid w:val="002A0A18"/>
    <w:rsid w:val="002A2BD2"/>
    <w:rsid w:val="002D3E46"/>
    <w:rsid w:val="002F0D22"/>
    <w:rsid w:val="002F217A"/>
    <w:rsid w:val="00311B17"/>
    <w:rsid w:val="003172DC"/>
    <w:rsid w:val="00325AE3"/>
    <w:rsid w:val="00326069"/>
    <w:rsid w:val="00330BE6"/>
    <w:rsid w:val="00345FB4"/>
    <w:rsid w:val="0035462D"/>
    <w:rsid w:val="0036459E"/>
    <w:rsid w:val="00364B41"/>
    <w:rsid w:val="00383096"/>
    <w:rsid w:val="003931F1"/>
    <w:rsid w:val="0039346C"/>
    <w:rsid w:val="003A41EF"/>
    <w:rsid w:val="003A73F5"/>
    <w:rsid w:val="003B40AD"/>
    <w:rsid w:val="003B6D95"/>
    <w:rsid w:val="003C4E37"/>
    <w:rsid w:val="003E16BE"/>
    <w:rsid w:val="003E68D1"/>
    <w:rsid w:val="003F4E28"/>
    <w:rsid w:val="003F7B12"/>
    <w:rsid w:val="004006E8"/>
    <w:rsid w:val="00401855"/>
    <w:rsid w:val="00415DED"/>
    <w:rsid w:val="004223FB"/>
    <w:rsid w:val="0045010B"/>
    <w:rsid w:val="00465587"/>
    <w:rsid w:val="00471BC3"/>
    <w:rsid w:val="00477455"/>
    <w:rsid w:val="004A1F7B"/>
    <w:rsid w:val="004A6C32"/>
    <w:rsid w:val="004C44D2"/>
    <w:rsid w:val="004C5FA6"/>
    <w:rsid w:val="004C65E5"/>
    <w:rsid w:val="004D3578"/>
    <w:rsid w:val="004D380D"/>
    <w:rsid w:val="004E213A"/>
    <w:rsid w:val="004F4540"/>
    <w:rsid w:val="004F4B0E"/>
    <w:rsid w:val="004F6BB4"/>
    <w:rsid w:val="004F73A7"/>
    <w:rsid w:val="004F7F3C"/>
    <w:rsid w:val="00503171"/>
    <w:rsid w:val="00506C28"/>
    <w:rsid w:val="005304C1"/>
    <w:rsid w:val="00534DA0"/>
    <w:rsid w:val="00543E6C"/>
    <w:rsid w:val="00565087"/>
    <w:rsid w:val="0056573F"/>
    <w:rsid w:val="00571279"/>
    <w:rsid w:val="00587373"/>
    <w:rsid w:val="0059087D"/>
    <w:rsid w:val="005A49C6"/>
    <w:rsid w:val="005A6257"/>
    <w:rsid w:val="005C4C11"/>
    <w:rsid w:val="005E2729"/>
    <w:rsid w:val="00605A00"/>
    <w:rsid w:val="00611566"/>
    <w:rsid w:val="006335A1"/>
    <w:rsid w:val="00646D99"/>
    <w:rsid w:val="00656076"/>
    <w:rsid w:val="00656910"/>
    <w:rsid w:val="006574C0"/>
    <w:rsid w:val="00696619"/>
    <w:rsid w:val="00696821"/>
    <w:rsid w:val="006A51EB"/>
    <w:rsid w:val="006C0011"/>
    <w:rsid w:val="006C66D8"/>
    <w:rsid w:val="006D1E24"/>
    <w:rsid w:val="006D35DE"/>
    <w:rsid w:val="006D61B2"/>
    <w:rsid w:val="006E0DB8"/>
    <w:rsid w:val="006E1057"/>
    <w:rsid w:val="006E1417"/>
    <w:rsid w:val="006E4B2D"/>
    <w:rsid w:val="006F6361"/>
    <w:rsid w:val="006F6A2C"/>
    <w:rsid w:val="0070060D"/>
    <w:rsid w:val="007069DC"/>
    <w:rsid w:val="00710201"/>
    <w:rsid w:val="00714A22"/>
    <w:rsid w:val="0072073A"/>
    <w:rsid w:val="007342B5"/>
    <w:rsid w:val="00734A5B"/>
    <w:rsid w:val="00744E76"/>
    <w:rsid w:val="00757D40"/>
    <w:rsid w:val="00760B35"/>
    <w:rsid w:val="007662B5"/>
    <w:rsid w:val="00767D7A"/>
    <w:rsid w:val="00774A43"/>
    <w:rsid w:val="00776366"/>
    <w:rsid w:val="00781F0F"/>
    <w:rsid w:val="0078727C"/>
    <w:rsid w:val="0079049D"/>
    <w:rsid w:val="00793DC5"/>
    <w:rsid w:val="00796823"/>
    <w:rsid w:val="007A2E55"/>
    <w:rsid w:val="007A6B25"/>
    <w:rsid w:val="007B18D8"/>
    <w:rsid w:val="007C095F"/>
    <w:rsid w:val="007C2DD0"/>
    <w:rsid w:val="007D192A"/>
    <w:rsid w:val="007F2E08"/>
    <w:rsid w:val="007F78C0"/>
    <w:rsid w:val="008028A4"/>
    <w:rsid w:val="00813245"/>
    <w:rsid w:val="00840DE0"/>
    <w:rsid w:val="00857FC1"/>
    <w:rsid w:val="008607A8"/>
    <w:rsid w:val="0086354A"/>
    <w:rsid w:val="00872F9D"/>
    <w:rsid w:val="008768CA"/>
    <w:rsid w:val="00877EF9"/>
    <w:rsid w:val="00880559"/>
    <w:rsid w:val="00887C10"/>
    <w:rsid w:val="00893807"/>
    <w:rsid w:val="00894820"/>
    <w:rsid w:val="008B5306"/>
    <w:rsid w:val="008C2E2A"/>
    <w:rsid w:val="008C3057"/>
    <w:rsid w:val="008D2E4D"/>
    <w:rsid w:val="008F03DB"/>
    <w:rsid w:val="008F396F"/>
    <w:rsid w:val="008F3DCD"/>
    <w:rsid w:val="0090271F"/>
    <w:rsid w:val="00902DB9"/>
    <w:rsid w:val="0090466A"/>
    <w:rsid w:val="009053EC"/>
    <w:rsid w:val="00910AE5"/>
    <w:rsid w:val="00913944"/>
    <w:rsid w:val="0091528E"/>
    <w:rsid w:val="00923655"/>
    <w:rsid w:val="00936071"/>
    <w:rsid w:val="009376CD"/>
    <w:rsid w:val="00940212"/>
    <w:rsid w:val="00942EC2"/>
    <w:rsid w:val="00961B32"/>
    <w:rsid w:val="00961F49"/>
    <w:rsid w:val="00962509"/>
    <w:rsid w:val="00970DB3"/>
    <w:rsid w:val="00974BB0"/>
    <w:rsid w:val="00975BCD"/>
    <w:rsid w:val="0099216C"/>
    <w:rsid w:val="009928A9"/>
    <w:rsid w:val="00993B19"/>
    <w:rsid w:val="009A0AF3"/>
    <w:rsid w:val="009A2EE3"/>
    <w:rsid w:val="009B07CD"/>
    <w:rsid w:val="009C19E9"/>
    <w:rsid w:val="009D74A6"/>
    <w:rsid w:val="009E0E87"/>
    <w:rsid w:val="009F3F74"/>
    <w:rsid w:val="00A10F02"/>
    <w:rsid w:val="00A204CA"/>
    <w:rsid w:val="00A209D6"/>
    <w:rsid w:val="00A22738"/>
    <w:rsid w:val="00A430EC"/>
    <w:rsid w:val="00A53724"/>
    <w:rsid w:val="00A54B2B"/>
    <w:rsid w:val="00A619A2"/>
    <w:rsid w:val="00A77CC8"/>
    <w:rsid w:val="00A809C9"/>
    <w:rsid w:val="00A82346"/>
    <w:rsid w:val="00A87B28"/>
    <w:rsid w:val="00A9671C"/>
    <w:rsid w:val="00AA1553"/>
    <w:rsid w:val="00AE4B50"/>
    <w:rsid w:val="00B05380"/>
    <w:rsid w:val="00B05962"/>
    <w:rsid w:val="00B15449"/>
    <w:rsid w:val="00B16C2F"/>
    <w:rsid w:val="00B27303"/>
    <w:rsid w:val="00B47FD1"/>
    <w:rsid w:val="00B5104B"/>
    <w:rsid w:val="00B516BB"/>
    <w:rsid w:val="00B52EEE"/>
    <w:rsid w:val="00B606E6"/>
    <w:rsid w:val="00B7538C"/>
    <w:rsid w:val="00B84DB2"/>
    <w:rsid w:val="00B914E1"/>
    <w:rsid w:val="00BA2BE9"/>
    <w:rsid w:val="00BC3079"/>
    <w:rsid w:val="00BC3555"/>
    <w:rsid w:val="00BD465D"/>
    <w:rsid w:val="00BF64C3"/>
    <w:rsid w:val="00C104A3"/>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E7A92"/>
    <w:rsid w:val="00D21B8E"/>
    <w:rsid w:val="00D33BE3"/>
    <w:rsid w:val="00D3792D"/>
    <w:rsid w:val="00D37ED9"/>
    <w:rsid w:val="00D51851"/>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0B08"/>
    <w:rsid w:val="00DE25D2"/>
    <w:rsid w:val="00DF15E4"/>
    <w:rsid w:val="00E45523"/>
    <w:rsid w:val="00E46C08"/>
    <w:rsid w:val="00E471CF"/>
    <w:rsid w:val="00E5262D"/>
    <w:rsid w:val="00E6033F"/>
    <w:rsid w:val="00E62835"/>
    <w:rsid w:val="00E77645"/>
    <w:rsid w:val="00E83697"/>
    <w:rsid w:val="00E859B6"/>
    <w:rsid w:val="00EA30FC"/>
    <w:rsid w:val="00EA66C9"/>
    <w:rsid w:val="00EC4A25"/>
    <w:rsid w:val="00ED6CD0"/>
    <w:rsid w:val="00EF426F"/>
    <w:rsid w:val="00EF612C"/>
    <w:rsid w:val="00F025A2"/>
    <w:rsid w:val="00F036E9"/>
    <w:rsid w:val="00F07388"/>
    <w:rsid w:val="00F126FE"/>
    <w:rsid w:val="00F16D83"/>
    <w:rsid w:val="00F2026E"/>
    <w:rsid w:val="00F2210A"/>
    <w:rsid w:val="00F23E2E"/>
    <w:rsid w:val="00F31372"/>
    <w:rsid w:val="00F37743"/>
    <w:rsid w:val="00F421D5"/>
    <w:rsid w:val="00F52D32"/>
    <w:rsid w:val="00F54A3D"/>
    <w:rsid w:val="00F54CB0"/>
    <w:rsid w:val="00F56CA0"/>
    <w:rsid w:val="00F579CD"/>
    <w:rsid w:val="00F653B8"/>
    <w:rsid w:val="00F6766D"/>
    <w:rsid w:val="00F70D10"/>
    <w:rsid w:val="00F71B89"/>
    <w:rsid w:val="00F7353C"/>
    <w:rsid w:val="00F76F8F"/>
    <w:rsid w:val="00F941DF"/>
    <w:rsid w:val="00FA1266"/>
    <w:rsid w:val="00FB36FA"/>
    <w:rsid w:val="00FC1192"/>
    <w:rsid w:val="00FE106D"/>
    <w:rsid w:val="00FE251B"/>
    <w:rsid w:val="00FE2D2F"/>
    <w:rsid w:val="00FF7B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15C047EF-EF3A-4037-95FC-D4BF0AB53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qFormat/>
    <w:rsid w:val="004F6BB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4F6BB4"/>
    <w:rPr>
      <w:rFonts w:ascii="Calibri" w:eastAsiaTheme="minorHAnsi" w:hAnsi="Calibri" w:cs="Calibri"/>
      <w:sz w:val="22"/>
      <w:szCs w:val="22"/>
      <w:lang w:val="pl-PL"/>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出段落1,列表段落11,列表段落,リスト段落"/>
    <w:basedOn w:val="Normal"/>
    <w:link w:val="ListParagraphChar"/>
    <w:uiPriority w:val="34"/>
    <w:qFormat/>
    <w:rsid w:val="004F6BB4"/>
    <w:pPr>
      <w:spacing w:after="0" w:line="256" w:lineRule="auto"/>
      <w:ind w:left="720"/>
    </w:pPr>
    <w:rPr>
      <w:rFonts w:ascii="Calibri" w:eastAsiaTheme="minorHAnsi" w:hAnsi="Calibri" w:cs="Calibri"/>
      <w:sz w:val="22"/>
      <w:szCs w:val="22"/>
      <w:lang w:val="pl-PL" w:eastAsia="en-GB"/>
    </w:rPr>
  </w:style>
  <w:style w:type="character" w:styleId="CommentReference">
    <w:name w:val="annotation reference"/>
    <w:basedOn w:val="DefaultParagraphFont"/>
    <w:rsid w:val="003B6D95"/>
    <w:rPr>
      <w:sz w:val="16"/>
      <w:szCs w:val="16"/>
    </w:rPr>
  </w:style>
  <w:style w:type="paragraph" w:styleId="CommentText">
    <w:name w:val="annotation text"/>
    <w:basedOn w:val="Normal"/>
    <w:link w:val="CommentTextChar"/>
    <w:rsid w:val="003B6D95"/>
  </w:style>
  <w:style w:type="character" w:customStyle="1" w:styleId="CommentTextChar">
    <w:name w:val="Comment Text Char"/>
    <w:basedOn w:val="DefaultParagraphFont"/>
    <w:link w:val="CommentText"/>
    <w:rsid w:val="003B6D95"/>
    <w:rPr>
      <w:lang w:eastAsia="en-US"/>
    </w:rPr>
  </w:style>
  <w:style w:type="paragraph" w:styleId="CommentSubject">
    <w:name w:val="annotation subject"/>
    <w:basedOn w:val="CommentText"/>
    <w:next w:val="CommentText"/>
    <w:link w:val="CommentSubjectChar"/>
    <w:rsid w:val="003B6D95"/>
    <w:rPr>
      <w:b/>
      <w:bCs/>
    </w:rPr>
  </w:style>
  <w:style w:type="character" w:customStyle="1" w:styleId="CommentSubjectChar">
    <w:name w:val="Comment Subject Char"/>
    <w:basedOn w:val="CommentTextChar"/>
    <w:link w:val="CommentSubject"/>
    <w:rsid w:val="003B6D9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25071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5AIRPNAIUNRU-859666464-9245</_dlc_DocId>
    <_dlc_DocIdUrl xmlns="71c5aaf6-e6ce-465b-b873-5148d2a4c105">
      <Url>https://nokia.sharepoint.com/sites/c5g/e2earch/_layouts/15/DocIdRedir.aspx?ID=5AIRPNAIUNRU-859666464-9245</Url>
      <Description>5AIRPNAIUNRU-859666464-9245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purl.org/dc/elements/1.1/"/>
    <ds:schemaRef ds:uri="http://schemas.microsoft.com/office/2006/metadata/properties"/>
    <ds:schemaRef ds:uri="71c5aaf6-e6ce-465b-b873-5148d2a4c105"/>
    <ds:schemaRef ds:uri="83f22d2f-d16e-4be6-ad4f-29fa0b067c3c"/>
    <ds:schemaRef ds:uri="http://schemas.microsoft.com/office/infopath/2007/PartnerControls"/>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3</Pages>
  <Words>1382</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176</cp:revision>
  <dcterms:created xsi:type="dcterms:W3CDTF">2016-08-12T03:53:00Z</dcterms:created>
  <dcterms:modified xsi:type="dcterms:W3CDTF">2021-08-05T10:14:00Z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3f048fa8-ce67-4dd0-863d-42e360fc4331</vt:lpwstr>
  </property>
</Properties>
</file>